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widowControl w:val="off"/>
        <w:tabs>
          <w:tab w:val="left" w:pos="3686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 7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Единым стандартам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качества обслуживания сетевыми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организациями потребителей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услуг сетевых организаций, утвержденным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приказом Минэнерго России от 15.04.2014 г. № 186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/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pP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</w:p>
    <w:p>
      <w:pPr>
        <w:jc w:val="center"/>
        <w:spacing w:after="0"/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pP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Информация о качестве обслуживания потребителей услуг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филиала ПАО «Россети Юг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» – «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Калмэнерго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» за 20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2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4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 год.  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b/>
          <w:color w:val="365f91" w:themeColor="accent1" w:themeShade="BF"/>
          <w:sz w:val="24"/>
        </w:rPr>
      </w:pPr>
      <w:r>
        <w:rPr>
          <w:rFonts w:ascii="Times New Roman" w:hAnsi="Times New Roman" w:cs="Times New Roman"/>
          <w:b/>
          <w:color w:val="365f91" w:themeColor="accent1" w:themeShade="BF"/>
          <w:sz w:val="24"/>
        </w:rPr>
        <w:br w:type="page" w:clear="all"/>
      </w:r>
      <w:r>
        <w:rPr>
          <w:rFonts w:ascii="Times New Roman" w:hAnsi="Times New Roman" w:cs="Times New Roman"/>
          <w:b/>
          <w:color w:val="365f91" w:themeColor="accent1" w:themeShade="BF"/>
          <w:sz w:val="24"/>
        </w:rPr>
      </w:r>
      <w:r>
        <w:rPr>
          <w:rFonts w:ascii="Times New Roman" w:hAnsi="Times New Roman" w:cs="Times New Roman"/>
          <w:b/>
          <w:color w:val="365f91" w:themeColor="accent1" w:themeShade="BF"/>
          <w:sz w:val="24"/>
        </w:rPr>
      </w:r>
    </w:p>
    <w:p>
      <w:pPr>
        <w:pStyle w:val="862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  <w:sz w:val="24"/>
        </w:rPr>
      </w:pPr>
      <w:r>
        <w:rPr>
          <w:rFonts w:ascii="Times New Roman" w:hAnsi="Times New Roman" w:cs="Times New Roman"/>
          <w:b/>
          <w:color w:val="365f91" w:themeColor="accent1" w:themeShade="BF"/>
          <w:sz w:val="24"/>
        </w:rPr>
        <w:t xml:space="preserve">Общая информация о сетевой организации</w:t>
      </w:r>
      <w:r>
        <w:rPr>
          <w:rFonts w:ascii="Times New Roman" w:hAnsi="Times New Roman" w:cs="Times New Roman"/>
          <w:b/>
          <w:color w:val="365f91" w:themeColor="accent1" w:themeShade="BF"/>
          <w:sz w:val="24"/>
        </w:rPr>
      </w:r>
      <w:r>
        <w:rPr>
          <w:rFonts w:ascii="Times New Roman" w:hAnsi="Times New Roman" w:cs="Times New Roman"/>
          <w:b/>
          <w:color w:val="365f91" w:themeColor="accent1" w:themeShade="BF"/>
          <w:sz w:val="24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потребителей услуг сетевой организации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202</w:t>
      </w:r>
      <w:r>
        <w:rPr>
          <w:rFonts w:ascii="Times New Roman" w:hAnsi="Times New Roman" w:cs="Times New Roman"/>
        </w:rPr>
        <w:t xml:space="preserve">4</w:t>
      </w:r>
      <w:r>
        <w:rPr>
          <w:rFonts w:ascii="Times New Roman" w:hAnsi="Times New Roman" w:cs="Times New Roman"/>
        </w:rPr>
        <w:t xml:space="preserve"> году было осуществлено </w:t>
      </w:r>
      <w:r>
        <w:rPr>
          <w:rFonts w:ascii="Times New Roman" w:hAnsi="Times New Roman" w:cs="Times New Roman"/>
        </w:rPr>
        <w:t xml:space="preserve">1176</w:t>
      </w:r>
      <w:r>
        <w:rPr>
          <w:rFonts w:ascii="Times New Roman" w:hAnsi="Times New Roman" w:cs="Times New Roman"/>
        </w:rPr>
        <w:t xml:space="preserve"> технологических присоединений заявителей: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numPr>
          <w:ilvl w:val="0"/>
          <w:numId w:val="12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1-й категории надежности – 0 шт.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numPr>
          <w:ilvl w:val="0"/>
          <w:numId w:val="12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2-й категории надежности –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шт.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numPr>
          <w:ilvl w:val="0"/>
          <w:numId w:val="12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3-й категории надежности –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174</w:t>
      </w:r>
      <w:r>
        <w:rPr>
          <w:rFonts w:ascii="Times New Roman" w:hAnsi="Times New Roman" w:cs="Times New Roman"/>
        </w:rPr>
        <w:t xml:space="preserve"> шт.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80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3076"/>
        <w:gridCol w:w="4423"/>
      </w:tblGrid>
      <w:tr>
        <w:tblPrEx/>
        <w:trPr>
          <w:trHeight w:val="525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Уровень напряжения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W w:w="3076" w:type="dxa"/>
            <w:vAlign w:val="center"/>
            <w:textDirection w:val="lrTb"/>
            <w:noWrap w:val="false"/>
          </w:tcPr>
          <w:p>
            <w:pPr>
              <w:pStyle w:val="862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Количество присоединений в 2023 году, шт.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vAlign w:val="center"/>
            <w:textDirection w:val="lrTb"/>
            <w:noWrap w:val="false"/>
          </w:tcPr>
          <w:p>
            <w:pPr>
              <w:pStyle w:val="862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Количество присоединений в 2024 году, шт.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</w:tr>
      <w:tr>
        <w:tblPrEx/>
        <w:trPr>
          <w:trHeight w:val="262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0,4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30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896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1154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262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6-10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30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18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21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283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 кВ – 35кВ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30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290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290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110 – 220 кВ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30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4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</w:tbl>
    <w:p>
      <w:pPr>
        <w:pStyle w:val="862"/>
        <w:ind w:left="1080"/>
        <w:jc w:val="both"/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tbl>
      <w:tblPr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8"/>
        <w:gridCol w:w="3090"/>
        <w:gridCol w:w="4355"/>
      </w:tblGrid>
      <w:tr>
        <w:tblPrEx/>
        <w:trPr>
          <w:trHeight w:val="563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388" w:type="dxa"/>
            <w:vAlign w:val="center"/>
            <w:textDirection w:val="lrTb"/>
            <w:noWrap w:val="false"/>
          </w:tcPr>
          <w:p>
            <w:pPr>
              <w:pStyle w:val="862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Тип потребителей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W w:w="3090" w:type="dxa"/>
            <w:vAlign w:val="center"/>
            <w:textDirection w:val="lrTb"/>
            <w:noWrap w:val="false"/>
          </w:tcPr>
          <w:p>
            <w:pPr>
              <w:pStyle w:val="862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Количество присоединений  в 2023 году,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шт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355" w:type="dxa"/>
            <w:vAlign w:val="center"/>
            <w:textDirection w:val="lrTb"/>
            <w:noWrap w:val="false"/>
          </w:tcPr>
          <w:p>
            <w:pPr>
              <w:pStyle w:val="862"/>
              <w:ind w:left="0"/>
              <w:jc w:val="center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Количество присоединений  в 2024 году,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шт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</w:tr>
      <w:tr>
        <w:tblPrEx/>
        <w:trPr>
          <w:trHeight w:val="281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388" w:type="dxa"/>
            <w:textDirection w:val="lrTb"/>
            <w:noWrap w:val="false"/>
          </w:tcPr>
          <w:p>
            <w:pPr>
              <w:pStyle w:val="862"/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Физические лица 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30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629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3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840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  <w:tr>
        <w:tblPrEx/>
        <w:trPr>
          <w:trHeight w:val="304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2388" w:type="dxa"/>
            <w:textDirection w:val="lrTb"/>
            <w:noWrap w:val="false"/>
          </w:tcPr>
          <w:p>
            <w:pPr>
              <w:pStyle w:val="862"/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W w:w="309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285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43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336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точек поставки всего и точек поставки, оборудованных приборами учета электрической энергии, с разбивкой: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996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9"/>
        <w:gridCol w:w="2529"/>
        <w:gridCol w:w="2558"/>
      </w:tblGrid>
      <w:tr>
        <w:tblPrEx/>
        <w:trPr>
          <w:trHeight w:val="375"/>
        </w:trPr>
        <w:tc>
          <w:tcPr>
            <w:shd w:val="clear" w:color="auto" w:fill="auto"/>
            <w:tcW w:w="4909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Потребители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508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Калмэнерго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1378"/>
        </w:trPr>
        <w:tc>
          <w:tcPr>
            <w:shd w:val="clear" w:color="auto" w:fill="auto"/>
            <w:tcW w:w="49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2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Количество точек поставки 2023 г. (шт.)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Количество точек поставки 2024 г. (шт.)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245907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79412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Оснащено приборами учета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240599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79412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734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системы учета электроэнергии с удаленным сбором данных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86296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10766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Юридические лица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38896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12452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Оснащено приборами учета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36122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12452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734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системы учета электроэнергии с удаленным сбором данных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7425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1035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Ввода в многоквартирные дома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4153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496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Оснащено приборами учета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3857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496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734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системы учета электроэнергии с удаленным сбором данных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1261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734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Физические лица (частные домовладения)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202781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66464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Оснащено приборами учета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200620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66464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734"/>
        </w:trPr>
        <w:tc>
          <w:tcPr>
            <w:shd w:val="clear" w:color="auto" w:fill="auto"/>
            <w:tcW w:w="49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 системы учета электроэнергии с удаленным сбором данных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000000" w:fill="ffffff"/>
            <w:tcW w:w="252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77610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W w:w="25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9731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об объектах электросетевого хозяйства сетевой организации:</w:t>
      </w:r>
      <w:r>
        <w:rPr>
          <w:rFonts w:ascii="Times New Roman" w:hAnsi="Times New Roman" w:cs="Times New Roman"/>
          <w:color w:val="365f91" w:themeColor="accent1" w:themeShade="BF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numPr>
          <w:ilvl w:val="2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Протяже</w:t>
      </w:r>
      <w:r>
        <w:rPr>
          <w:rFonts w:ascii="Times New Roman" w:hAnsi="Times New Roman" w:cs="Times New Roman"/>
        </w:rPr>
        <w:t xml:space="preserve">нность ЛЭП филиала ПАО «Россети Юг</w:t>
      </w:r>
      <w:r>
        <w:rPr>
          <w:rFonts w:ascii="Times New Roman" w:hAnsi="Times New Roman" w:cs="Times New Roman"/>
        </w:rPr>
        <w:t xml:space="preserve">» - «</w:t>
      </w:r>
      <w:r>
        <w:rPr>
          <w:rFonts w:ascii="Times New Roman" w:hAnsi="Times New Roman" w:cs="Times New Roman"/>
        </w:rPr>
        <w:t xml:space="preserve">Калмэнерго</w:t>
      </w:r>
      <w:r>
        <w:rPr>
          <w:rFonts w:ascii="Times New Roman" w:hAnsi="Times New Roman" w:cs="Times New Roman"/>
        </w:rPr>
        <w:t xml:space="preserve">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pPr w:horzAnchor="page" w:tblpX="1272" w:vertAnchor="text" w:tblpY="210" w:leftFromText="180" w:topFromText="0" w:rightFromText="180" w:bottomFromText="0"/>
        <w:tblW w:w="9871" w:type="dxa"/>
        <w:tblLook w:val="04A0" w:firstRow="1" w:lastRow="0" w:firstColumn="1" w:lastColumn="0" w:noHBand="0" w:noVBand="1"/>
      </w:tblPr>
      <w:tblGrid>
        <w:gridCol w:w="1555"/>
        <w:gridCol w:w="963"/>
        <w:gridCol w:w="1647"/>
        <w:gridCol w:w="1647"/>
        <w:gridCol w:w="1026"/>
        <w:gridCol w:w="1647"/>
        <w:gridCol w:w="1647"/>
      </w:tblGrid>
      <w:tr>
        <w:tblPrEx/>
        <w:trPr>
          <w:trHeight w:val="41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9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2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Кол-во (шт.)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Протяженность по цепям (км)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Кол-во (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шт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Протяженность по цепям (км)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ВЛ 0.4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4 650,0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3 726,4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3 726,4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4 662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3 757,35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3 757,35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ВЛ 6-20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510,0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12 674,6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12 674,6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513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12 765,62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12 765,62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ВЛ 35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82,0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1 980,6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2 003,6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1 972,79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1 985,32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ВЛ 110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62,0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2 088,5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2 212,4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2 088,49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2 212,44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  <w:t xml:space="preserve">ИТОГО ВЛ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5 304,0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20 470,2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20 617,1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5 319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20 584,25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20 720,73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КЛ 0.4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326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100,96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100,96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326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100,96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100,96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КЛ 6-10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136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101,79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101,79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140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104,98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104,98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КЛ 35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КЛ 110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  <w:t xml:space="preserve">ИТОГО КЛ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462,0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202,8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202,8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466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205,94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205,94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ЛЭП 0.4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4 976,0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3 827,4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3 827,4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4 988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3 858,31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3 858,31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ЛЭП 6-20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646,0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12 776,4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12 776,4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653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12 870,60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12 870,60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ЛЭП 35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82,0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1 980,6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2 003,6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1 972,79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1 985,32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ЛЭП 110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62,0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2 088,5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2 212,4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2 088,49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2 212,44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8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  <w:t xml:space="preserve">ИТОГО ЛЭП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5 766,0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20 672,9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20 819,9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2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5 785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20 790,19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47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20 926,67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</w:tbl>
    <w:p>
      <w:pPr>
        <w:pStyle w:val="862"/>
        <w:ind w:left="1080"/>
        <w:jc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numPr>
          <w:ilvl w:val="2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Количество и мощность </w:t>
      </w:r>
      <w:r>
        <w:rPr>
          <w:rFonts w:ascii="Times New Roman" w:hAnsi="Times New Roman" w:cs="Times New Roman"/>
        </w:rPr>
        <w:t xml:space="preserve">подстанций филиала ПАО «Россети Юг</w:t>
      </w:r>
      <w:r>
        <w:rPr>
          <w:rFonts w:ascii="Times New Roman" w:hAnsi="Times New Roman" w:cs="Times New Roman"/>
        </w:rPr>
        <w:t xml:space="preserve">» - «</w:t>
      </w:r>
      <w:r>
        <w:rPr>
          <w:rFonts w:ascii="Times New Roman" w:hAnsi="Times New Roman" w:cs="Times New Roman"/>
        </w:rPr>
        <w:t xml:space="preserve">Калм</w:t>
      </w:r>
      <w:r>
        <w:rPr>
          <w:rFonts w:ascii="Times New Roman" w:hAnsi="Times New Roman" w:cs="Times New Roman"/>
        </w:rPr>
        <w:t xml:space="preserve">энерго».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64"/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725"/>
        <w:gridCol w:w="1575"/>
        <w:gridCol w:w="1290"/>
        <w:gridCol w:w="1575"/>
        <w:gridCol w:w="2041"/>
      </w:tblGrid>
      <w:tr>
        <w:tblPrEx/>
        <w:trPr>
          <w:trHeight w:val="187"/>
        </w:trPr>
        <w:tc>
          <w:tcPr>
            <w:tcW w:w="3725" w:type="dxa"/>
            <w:vMerge w:val="restart"/>
            <w:textDirection w:val="lrTb"/>
            <w:noWrap w:val="false"/>
          </w:tcPr>
          <w:p>
            <w:pPr>
              <w:pStyle w:val="86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gridSpan w:val="2"/>
            <w:tcW w:w="2865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2023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gridSpan w:val="2"/>
            <w:tcW w:w="3616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2024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345"/>
        </w:trPr>
        <w:tc>
          <w:tcPr>
            <w:tcW w:w="3725" w:type="dxa"/>
            <w:vMerge w:val="continue"/>
            <w:textDirection w:val="lrTb"/>
            <w:noWrap w:val="false"/>
          </w:tcPr>
          <w:p>
            <w:pPr>
              <w:pStyle w:val="86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290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МВА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 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86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МВА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345"/>
        </w:trPr>
        <w:tc>
          <w:tcPr>
            <w:tcW w:w="372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ПС 35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кВ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5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2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200,5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5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2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200,5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15"/>
        </w:trPr>
        <w:tc>
          <w:tcPr>
            <w:tcW w:w="3725" w:type="dxa"/>
            <w:textDirection w:val="lrTb"/>
            <w:noWrap w:val="false"/>
          </w:tcPr>
          <w:p>
            <w:pPr>
              <w:pStyle w:val="862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ПС 110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5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51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29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1 039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5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51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204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1 036,5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15"/>
        </w:trPr>
        <w:tc>
          <w:tcPr>
            <w:tcW w:w="3725" w:type="dxa"/>
            <w:textDirection w:val="lrTb"/>
            <w:noWrap w:val="false"/>
          </w:tcPr>
          <w:p>
            <w:pPr>
              <w:pStyle w:val="862"/>
              <w:ind w:left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ПС 220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кВ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W w:w="157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290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57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204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15"/>
        </w:trPr>
        <w:tc>
          <w:tcPr>
            <w:tcW w:w="372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Количество и мощность ТП, РП 6-10/0,38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кВ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3 710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2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423,04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3 754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424,31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45"/>
        </w:trPr>
        <w:tc>
          <w:tcPr>
            <w:tcW w:w="372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3 829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W w:w="129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1 662,54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W w:w="15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3 873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1 661,31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</w:tr>
    </w:tbl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Уровень физического износа объектов электросетевого хозяйства сетевой организации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3827"/>
        <w:gridCol w:w="2693"/>
        <w:gridCol w:w="3686"/>
      </w:tblGrid>
      <w:tr>
        <w:tblPrEx/>
        <w:trPr>
          <w:trHeight w:val="9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637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82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lang w:eastAsia="ru-RU"/>
              </w:rPr>
            </w:r>
          </w:p>
        </w:tc>
      </w:tr>
      <w:tr>
        <w:tblPrEx/>
        <w:trPr>
          <w:trHeight w:val="36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Трансформаторное оборудование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84,16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85,02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Коммутационные аппараты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66,63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66,97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Общий износ по оборудованию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71,91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72,48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ВЛ 35-220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86,55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89,45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5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ВЛ 0,4-20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92,79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92,11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26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КЛ 35-220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9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КЛ 0,4-20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87,19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87,54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6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7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Общий износ по линиям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91,48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91,53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Информация о качестве услуг по передаче электрической энергии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Показатели качества услуг по передаче электрической энергии </w:t>
      </w:r>
      <w:r>
        <w:rPr>
          <w:rFonts w:ascii="Times New Roman" w:hAnsi="Times New Roman" w:cs="Times New Roman"/>
        </w:rPr>
        <w:t xml:space="preserve">в целом по сетевой организации в отчетном периоде, а также динамика по отношению к году, предшествующему отчетному.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567"/>
        <w:gridCol w:w="5343"/>
        <w:gridCol w:w="1319"/>
        <w:gridCol w:w="992"/>
        <w:gridCol w:w="1985"/>
      </w:tblGrid>
      <w:tr>
        <w:tblPrEx/>
        <w:trPr>
          <w:trHeight w:val="3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343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429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34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Динамика изменения показателя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trHeight w:val="765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средней продолжительности прекращений передачи электрической энергии (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Пsaidi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5,1404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5,0591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-1,58%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 (110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выше)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 (35 - 60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 (1 - 20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 (до 1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средней частоты прекращений передачи электрической энергии (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Пsaifi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3,2746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2,9335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-10,41%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 (110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выше)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 (35 - 60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 (1 - 20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 (до 1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273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Пsaidi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план)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10,6621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10,0641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-5,61%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 (110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выше)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 (35 - 60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 (1 - 20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 (до 1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3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Пsaifi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, план)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2,2755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1,9409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right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-14,71%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 (110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выше)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 (35 - 60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 (1 - 20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 (до 1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864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13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5.1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19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 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</w:tbl>
    <w:p>
      <w:pPr>
        <w:pStyle w:val="86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1906" w:h="16838" w:orient="portrait"/>
          <w:pgMar w:top="851" w:right="851" w:bottom="851" w:left="85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Рейтинг структурных единиц сетевой организации </w:t>
      </w:r>
      <w:r>
        <w:rPr>
          <w:rFonts w:ascii="Times New Roman" w:hAnsi="Times New Roman" w:cs="Times New Roman"/>
        </w:rPr>
        <w:t xml:space="preserve">по качеству оказания услуг по передаче электрической энергии, а также по качеству электрической энергии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15100" w:type="dxa"/>
        <w:jc w:val="center"/>
        <w:tblLook w:val="04A0" w:firstRow="1" w:lastRow="0" w:firstColumn="1" w:lastColumn="0" w:noHBand="0" w:noVBand="1"/>
      </w:tblPr>
      <w:tblGrid>
        <w:gridCol w:w="375"/>
        <w:gridCol w:w="1550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2153"/>
        <w:gridCol w:w="1742"/>
      </w:tblGrid>
      <w:tr>
        <w:tblPrEx/>
        <w:trPr>
          <w:jc w:val="center"/>
          <w:trHeight w:val="579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Структурная единица сетевой организации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средней продолжительности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Пsaidi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средней частоты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Пsaifi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Пsaidi,рем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Пsaifi,рем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качества оказания услуг по передаче электри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jc w:val="center"/>
          <w:trHeight w:val="32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Филиал «Калмэнерго»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5,0591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2,9335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10,0641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1,9409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</w:tbl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оказания услуг по передаче электрической энергии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firstLine="36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намеченные мероприятия выполнены в полном объеме. Выполнение мероприятий позволило достигнуть в 2024 году установленного Комитетом тарифного регулирования уровня надежности оказываемых услуг – выполнены показатели надежности </w:t>
      </w:r>
      <w:r>
        <w:rPr>
          <w:rFonts w:ascii="Times New Roman" w:hAnsi="Times New Roman" w:cs="Times New Roman"/>
        </w:rPr>
        <w:t xml:space="preserve">Пsaidi</w:t>
      </w:r>
      <w:r>
        <w:rPr>
          <w:rFonts w:ascii="Times New Roman" w:hAnsi="Times New Roman" w:cs="Times New Roman"/>
        </w:rPr>
        <w:t xml:space="preserve"> / </w:t>
      </w:r>
      <w:r>
        <w:rPr>
          <w:rFonts w:ascii="Times New Roman" w:hAnsi="Times New Roman" w:cs="Times New Roman"/>
        </w:rPr>
        <w:t xml:space="preserve">Пsaifi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862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Информация о качестве услуг по технологическому присоединению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наличии невостребованной мощности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</w:t>
      </w:r>
      <w:r>
        <w:rPr>
          <w:rFonts w:ascii="Times New Roman" w:hAnsi="Times New Roman" w:cs="Times New Roman"/>
        </w:rPr>
        <w:t xml:space="preserve">аблиц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 3.1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совершенствования деятельности по технологическому присоединению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 w:firstLine="3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Приём заявок на технологическое присоединение, а также дальнейшее взаимодействие с заявителями осуществляется в электронном виде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080" w:firstLine="33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Интерактивные сервисы в части оказания услуг клиентам, в том числе по технологическому присоединению, переведены в формат единой точки доступа на базе Портала электросетевых услуг «Россети».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Сведения о качестве услуг по технологическому присоединению </w:t>
      </w:r>
      <w:r>
        <w:rPr>
          <w:rFonts w:ascii="Times New Roman" w:hAnsi="Times New Roman" w:cs="Times New Roman"/>
        </w:rPr>
        <w:t xml:space="preserve">к электрическим сетям сетевой организации.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 w:firstLine="336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Информация о качестве услуг по технологическому присоединению представлена в </w:t>
      </w:r>
      <w:r>
        <w:rPr>
          <w:rFonts w:ascii="Times New Roman" w:hAnsi="Times New Roman" w:cs="Times New Roman"/>
        </w:rPr>
        <w:t xml:space="preserve">Таблица</w:t>
      </w:r>
      <w:r>
        <w:rPr>
          <w:rFonts w:ascii="Times New Roman" w:hAnsi="Times New Roman" w:cs="Times New Roman"/>
        </w:rPr>
        <w:t xml:space="preserve"> 3.4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Качество обслуживания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обращений, поступивших в сетевую организацию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372" w:firstLine="708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4.1. 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деятельности офисов обслуживания </w:t>
      </w:r>
      <w:r>
        <w:rPr>
          <w:rFonts w:ascii="Times New Roman" w:hAnsi="Times New Roman" w:cs="Times New Roman"/>
        </w:rPr>
        <w:t xml:space="preserve">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4.2. 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заочном обслуживании потребителей </w:t>
      </w:r>
      <w:r>
        <w:rPr>
          <w:rFonts w:ascii="Times New Roman" w:hAnsi="Times New Roman" w:cs="Times New Roman"/>
        </w:rPr>
        <w:t xml:space="preserve">посредством телефонной связи.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firstLine="36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4.3. 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№1.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Категория обращений, в которой зарегистрировано наибольшее число обращений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6237"/>
        <w:gridCol w:w="992"/>
        <w:gridCol w:w="1134"/>
        <w:gridCol w:w="1134"/>
      </w:tblGrid>
      <w:tr>
        <w:tblPrEx/>
        <w:trPr>
          <w:trHeight w:val="5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ДО/ филиала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Филиал ПАО "Россети Юг" - "Калмэнерго"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4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обращений, шт.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Темп роста, %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4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I. Распределение обращений по категории обращений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16844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10816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64,21%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1.1. Жалоба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294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85,03%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1.2. Запрос справочной информации/консультации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4129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3015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73,02%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 Заявка на оказание услуг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6025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3488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57,89%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1.3.1. заявка на ТП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1504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1715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114,03%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1.3.2. заявление на переоформление (восстановление) документов ТП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391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724,07%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1.3.3. заявление на перераспределение мощности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1.3.4. заявка на установку/замену прибора учета по ФЗ-522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1.3.5. заявление на заключение договора по передаче электроэнергии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1.3.6. заявка на дополнительные услуги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3811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1217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31,93%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1.3.7. прочее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654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154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23,55%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1.4. Приём/выдача документов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1.5. Сообщение информации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6378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4043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63,39%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из них по аварийным отключениям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3785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2539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67,08%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1.6. Прием платежей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1.7. Отзыв о деятельности компании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1.8. Предложение по повышению качества обслуживания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0,00%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1.9. Прочие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117,65%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Описание дополнительных услуг</w:t>
      </w:r>
      <w:r>
        <w:rPr>
          <w:rFonts w:ascii="Times New Roman" w:hAnsi="Times New Roman" w:cs="Times New Roman"/>
        </w:rPr>
        <w:t xml:space="preserve">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Кроме основных видов деятельности, филиал ПАО «Россети Юг» - «Калмэнерго» осуществляет прочие виды деятельности в рамках оказания дополнительных (нетарифных) услуг.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Филиалом на возмез</w:t>
      </w:r>
      <w:r>
        <w:rPr>
          <w:rFonts w:ascii="Times New Roman" w:hAnsi="Times New Roman" w:cs="Times New Roman"/>
        </w:rPr>
        <w:t xml:space="preserve">дной основе оказываются услуги по организации учета электрической энергии, техническому и ремонтно-эксплуатационному обслуживанию электросетевых объектов, совместному использованию опор, размещению оборудования, выполнению строительно-монтажных работ и пр.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Оказание дополнительных (нетарифных) услуг осуществляется в соответствии с перечнем дополнительных (нетарифных) услуг ПАО «Россети Юг»: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Аренда и услуги по размещению;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по техническому и ремонтно-эксплуатационному обслуживанию;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Выполнение строительно-монтажных работ;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Консультационные и организационно-технические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Агентские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связи и информационных технологий;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Другие услуги прочей деятельности;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направленные на работу с социально уязвимыми группами населения.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 ПАО «Россети Юг» - «Калмэнерго» обеспечивает обслуживание потребителей с соблюдением требований к организации офисов обслуживания потребителей, предусмотренных Стандартом качества обслуживания потребителей услуг ПАО «Россети Юг».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Темы и результаты опросов потребителей, проводимых сетевой организацией </w:t>
      </w:r>
      <w:r>
        <w:rPr>
          <w:rFonts w:ascii="Times New Roman" w:hAnsi="Times New Roman" w:cs="Times New Roman"/>
        </w:rPr>
        <w:t xml:space="preserve">для выявления мнения потребителей о качестве обслуживания, в рамках исполнения Единых стандартов качества обслуживания сетевыми организациями потребителей услуг сетевых организаций.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both"/>
        <w:spacing w:after="0"/>
        <w:rPr>
          <w:rFonts w:ascii="Times New Roman" w:hAnsi="Times New Roman" w:cs="Times New Roman"/>
        </w:rPr>
      </w:pPr>
      <w:r/>
      <w:bookmarkStart w:id="0" w:name="_GoBack"/>
      <w:r/>
      <w:bookmarkEnd w:id="0"/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036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126"/>
        <w:gridCol w:w="1559"/>
        <w:gridCol w:w="3083"/>
      </w:tblGrid>
      <w:tr>
        <w:tblPrEx/>
        <w:trPr>
          <w:jc w:val="right"/>
          <w:trHeight w:val="321"/>
        </w:trPr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Метод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Объект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Количество респондентов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W w:w="30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Цель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jc w:val="right"/>
          <w:trHeight w:val="1124"/>
        </w:trPr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Интервью по телефону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Потребители филиала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W w:w="30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оценка доступности энергетической инфраструктуры в рамках национального рейтинга состояния инвестиционного климата по направлению "Эффективность процедур по подключению электроэнергии"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</w:tr>
    </w:tbl>
    <w:p>
      <w:pPr>
        <w:pStyle w:val="862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Полученные статистические данные </w:t>
      </w:r>
      <w:r>
        <w:rPr>
          <w:rFonts w:ascii="Times New Roman" w:hAnsi="Times New Roman" w:cs="Times New Roman"/>
        </w:rPr>
        <w:t xml:space="preserve">говорят о том, что потребители в целом положительно оценивают качество предоставляемых услуг, следовательно, филиал в полной мере реализует клиентоориентированную политику, которая отражает место интересов потребителей услуг в системе приоритетов компании.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выполняемые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обслуживания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left="709" w:right="0" w:firstLine="707"/>
        <w:jc w:val="both"/>
        <w:spacing w:after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целях повышения качества обслуживания потребителей в 20</w:t>
      </w:r>
      <w:r>
        <w:rPr>
          <w:rFonts w:ascii="Times New Roman" w:hAnsi="Times New Roman" w:cs="Times New Roman"/>
          <w:sz w:val="22"/>
          <w:szCs w:val="22"/>
        </w:rPr>
        <w:t xml:space="preserve">2</w:t>
      </w:r>
      <w:r>
        <w:rPr>
          <w:rFonts w:ascii="Times New Roman" w:hAnsi="Times New Roman" w:cs="Times New Roman"/>
          <w:sz w:val="22"/>
          <w:szCs w:val="22"/>
        </w:rPr>
        <w:t xml:space="preserve">4 г. реализованы следующие мероприятия по повышению качества услуг и обслуживания: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862"/>
        <w:numPr>
          <w:ilvl w:val="0"/>
          <w:numId w:val="9"/>
        </w:numPr>
        <w:ind w:left="709" w:right="0" w:firstLine="731"/>
        <w:jc w:val="both"/>
        <w:spacing w:after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Поддержание уровня вовлеченности филиала в систему интерактивного обслуживания.</w:t>
      </w:r>
      <w:r>
        <w:rPr>
          <w:rFonts w:ascii="Times New Roman" w:hAnsi="Times New Roman" w:cs="Times New Roman"/>
          <w:color w:val="auto"/>
          <w:sz w:val="22"/>
          <w:szCs w:val="22"/>
        </w:rPr>
      </w:r>
      <w:r>
        <w:rPr>
          <w:rFonts w:ascii="Times New Roman" w:hAnsi="Times New Roman" w:cs="Times New Roman"/>
          <w:color w:val="auto"/>
          <w:sz w:val="22"/>
          <w:szCs w:val="22"/>
        </w:rPr>
      </w:r>
    </w:p>
    <w:p>
      <w:pPr>
        <w:pStyle w:val="862"/>
        <w:numPr>
          <w:ilvl w:val="0"/>
          <w:numId w:val="9"/>
        </w:numPr>
        <w:ind w:left="709" w:right="0" w:firstLine="731"/>
        <w:jc w:val="both"/>
        <w:spacing w:after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</w:r>
      <w:r>
        <w:rPr>
          <w:rFonts w:ascii="Times New Roman" w:hAnsi="Times New Roman"/>
          <w:color w:val="auto"/>
          <w:sz w:val="22"/>
          <w:szCs w:val="22"/>
        </w:rPr>
        <w:t xml:space="preserve">Проведены семинары – совещания с участием юридических лиц и индивидуальных предпринимателей Республики Калмыкия,</w:t>
      </w:r>
      <w:r>
        <w:rPr>
          <w:rFonts w:ascii="Times New Roman" w:hAnsi="Times New Roman"/>
          <w:color w:val="auto"/>
          <w:sz w:val="22"/>
          <w:szCs w:val="22"/>
        </w:rPr>
        <w:t xml:space="preserve"> направленных на повышение информированности заявителей об услугах и сервисах, предоставляемых Обществом.</w:t>
      </w:r>
      <w:r>
        <w:rPr>
          <w:rFonts w:ascii="Times New Roman" w:hAnsi="Times New Roman"/>
          <w:color w:val="auto"/>
          <w:sz w:val="22"/>
          <w:szCs w:val="22"/>
        </w:rPr>
      </w: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862"/>
        <w:numPr>
          <w:ilvl w:val="0"/>
          <w:numId w:val="9"/>
        </w:numPr>
        <w:ind w:left="709" w:right="0" w:firstLine="731"/>
        <w:jc w:val="both"/>
        <w:spacing w:after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Проведено обучение работников, задействованных в обслуживании потребителей </w:t>
        <w:br/>
        <w:t xml:space="preserve">ПАО «Россети Юг». </w:t>
      </w:r>
      <w:r>
        <w:rPr>
          <w:rFonts w:ascii="Times New Roman" w:hAnsi="Times New Roman" w:cs="Times New Roman"/>
          <w:color w:val="auto"/>
          <w:sz w:val="22"/>
          <w:szCs w:val="22"/>
        </w:rPr>
      </w:r>
      <w:r>
        <w:rPr>
          <w:rFonts w:ascii="Times New Roman" w:hAnsi="Times New Roman" w:cs="Times New Roman"/>
          <w:color w:val="auto"/>
          <w:sz w:val="22"/>
          <w:szCs w:val="22"/>
        </w:rPr>
      </w:r>
    </w:p>
    <w:p>
      <w:pPr>
        <w:pStyle w:val="862"/>
        <w:numPr>
          <w:ilvl w:val="0"/>
          <w:numId w:val="9"/>
        </w:numPr>
        <w:ind w:left="709" w:right="0" w:firstLine="731"/>
        <w:jc w:val="both"/>
        <w:spacing w:after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</w:r>
      <w:r>
        <w:rPr>
          <w:rFonts w:ascii="Times New Roman" w:hAnsi="Times New Roman"/>
          <w:color w:val="auto"/>
          <w:sz w:val="22"/>
          <w:szCs w:val="22"/>
        </w:rPr>
        <w:t xml:space="preserve">Модернизирован раздел «Потребителям» на официальном сайте Общества в части соответствия требованиям Стандартов качества обслуживания потребителей услуг.</w:t>
      </w:r>
      <w:r>
        <w:rPr>
          <w:rFonts w:ascii="Times New Roman" w:hAnsi="Times New Roman" w:cs="Times New Roman"/>
          <w:color w:val="auto"/>
          <w:sz w:val="22"/>
          <w:szCs w:val="22"/>
        </w:rPr>
      </w:r>
      <w:r>
        <w:rPr>
          <w:rFonts w:ascii="Times New Roman" w:hAnsi="Times New Roman" w:cs="Times New Roman"/>
          <w:color w:val="auto"/>
          <w:sz w:val="22"/>
          <w:szCs w:val="22"/>
        </w:rPr>
      </w:r>
    </w:p>
    <w:p>
      <w:pPr>
        <w:pStyle w:val="868"/>
        <w:numPr>
          <w:ilvl w:val="0"/>
          <w:numId w:val="14"/>
        </w:numPr>
        <w:contextualSpacing/>
        <w:ind w:left="709" w:right="0" w:firstLine="708"/>
        <w:jc w:val="both"/>
        <w:spacing w:after="0" w:afterAutospacing="0"/>
        <w:rPr>
          <w:rFonts w:ascii="Times New Roman" w:hAnsi="Times New Roman"/>
          <w:color w:val="auto"/>
          <w:highlight w:val="none"/>
        </w:rPr>
        <w:suppressLineNumbers w:val="0"/>
      </w:pPr>
      <w:r>
        <w:rPr>
          <w:rFonts w:ascii="Times New Roman" w:hAnsi="Times New Roman"/>
          <w:iCs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iCs/>
          <w:color w:val="auto"/>
          <w:sz w:val="22"/>
          <w:szCs w:val="22"/>
        </w:rPr>
        <w:t xml:space="preserve"> </w:t>
      </w:r>
      <w:r>
        <w:rPr>
          <w:rFonts w:ascii="Times New Roman" w:hAnsi="Times New Roman"/>
          <w:iCs/>
          <w:color w:val="auto"/>
          <w:sz w:val="22"/>
          <w:szCs w:val="22"/>
        </w:rPr>
        <w:t xml:space="preserve">На официальном сайте компании обновлен проект «День потребителя», разработан и реализован веб-интерфейс анкеты потребителя.</w:t>
      </w:r>
      <w:r>
        <w:rPr>
          <w:rFonts w:ascii="Times New Roman" w:hAnsi="Times New Roman"/>
          <w:color w:val="auto"/>
          <w:highlight w:val="none"/>
        </w:rPr>
      </w:r>
      <w:r>
        <w:rPr>
          <w:rFonts w:ascii="Times New Roman" w:hAnsi="Times New Roman"/>
          <w:color w:val="auto"/>
          <w:highlight w:val="none"/>
        </w:rPr>
      </w:r>
    </w:p>
    <w:p>
      <w:pPr>
        <w:pStyle w:val="862"/>
        <w:numPr>
          <w:ilvl w:val="0"/>
          <w:numId w:val="14"/>
        </w:numPr>
        <w:ind w:left="709" w:right="0" w:firstLine="708"/>
        <w:jc w:val="both"/>
        <w:spacing w:after="0"/>
        <w:rPr>
          <w:color w:val="auto"/>
          <w:sz w:val="22"/>
          <w:szCs w:val="22"/>
        </w:rPr>
        <w:suppressLineNumbers w:val="0"/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 На территории присутствия филиала «Калмэнерго» 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запущен единый короткий номер 220 горячей линии энергетиков «Светлая линия 220».</w:t>
      </w:r>
      <w:r>
        <w:rPr>
          <w:color w:val="auto"/>
          <w:sz w:val="22"/>
          <w:szCs w:val="22"/>
        </w:rPr>
      </w:r>
      <w:r>
        <w:rPr>
          <w:color w:val="auto"/>
          <w:sz w:val="22"/>
          <w:szCs w:val="22"/>
        </w:rPr>
      </w:r>
    </w:p>
    <w:p>
      <w:pPr>
        <w:pStyle w:val="862"/>
        <w:numPr>
          <w:ilvl w:val="0"/>
          <w:numId w:val="13"/>
        </w:numPr>
        <w:contextualSpacing/>
        <w:ind w:left="709" w:right="0" w:firstLine="709"/>
        <w:jc w:val="both"/>
        <w:keepNext w:val="0"/>
        <w:spacing w:line="240" w:lineRule="auto"/>
        <w:tabs>
          <w:tab w:val="left" w:pos="426" w:leader="none"/>
        </w:tabs>
        <w:rPr>
          <w:rFonts w:ascii="Times New Roman" w:hAnsi="Times New Roman" w:eastAsia="Times New Roman" w:cs="Times New Roman"/>
          <w:color w:val="auto" w:themeColor="text1"/>
          <w:sz w:val="22"/>
          <w:szCs w:val="22"/>
          <w14:ligatures w14:val="none"/>
        </w:rPr>
      </w:pP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Изготовлены графические макеты об услугах и сервисах, предоставляемых Обществом, в том числе в цифровом формате, выполнена полиграфическая печать.</w:t>
      </w: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color w:val="auto" w:themeColor="text1"/>
          <w:sz w:val="22"/>
          <w:szCs w:val="22"/>
          <w14:ligatures w14:val="none"/>
        </w:rPr>
      </w:r>
      <w:r>
        <w:rPr>
          <w:rFonts w:ascii="Times New Roman" w:hAnsi="Times New Roman" w:eastAsia="Times New Roman" w:cs="Times New Roman"/>
          <w:color w:val="auto" w:themeColor="text1"/>
          <w:sz w:val="22"/>
          <w:szCs w:val="22"/>
          <w14:ligatures w14:val="none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по обращениям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62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4.9. приложение №1.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Arial Narrow">
    <w:panose1 w:val="020B0604020202020204"/>
  </w:font>
  <w:font w:name="Times New Roman">
    <w:panose1 w:val="02020603050405020304"/>
  </w:font>
  <w:font w:name="Geometria Medium">
    <w:panose1 w:val="02000603000000000000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180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space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space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space"/>
      <w:lvlText w:val="Ø"/>
      <w:lvlJc w:val="left"/>
      <w:pPr>
        <w:ind w:left="2127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84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20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0"/>
    <w:lvlOverride w:ilvl="0">
      <w:startOverride w:val="1"/>
    </w:lvlOverride>
  </w:num>
  <w:num w:numId="5">
    <w:abstractNumId w:val="10"/>
  </w:num>
  <w:num w:numId="6">
    <w:abstractNumId w:val="2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5"/>
  </w:num>
  <w:num w:numId="12">
    <w:abstractNumId w:val="8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>
    <w:name w:val="Heading 1"/>
    <w:basedOn w:val="858"/>
    <w:next w:val="858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4">
    <w:name w:val="Heading 1 Char"/>
    <w:basedOn w:val="859"/>
    <w:link w:val="683"/>
    <w:uiPriority w:val="9"/>
    <w:rPr>
      <w:rFonts w:ascii="Arial" w:hAnsi="Arial" w:eastAsia="Arial" w:cs="Arial"/>
      <w:sz w:val="40"/>
      <w:szCs w:val="40"/>
    </w:rPr>
  </w:style>
  <w:style w:type="paragraph" w:styleId="685">
    <w:name w:val="Heading 2"/>
    <w:basedOn w:val="858"/>
    <w:next w:val="858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6">
    <w:name w:val="Heading 2 Char"/>
    <w:basedOn w:val="859"/>
    <w:link w:val="685"/>
    <w:uiPriority w:val="9"/>
    <w:rPr>
      <w:rFonts w:ascii="Arial" w:hAnsi="Arial" w:eastAsia="Arial" w:cs="Arial"/>
      <w:sz w:val="34"/>
    </w:rPr>
  </w:style>
  <w:style w:type="paragraph" w:styleId="687">
    <w:name w:val="Heading 3"/>
    <w:basedOn w:val="858"/>
    <w:next w:val="858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8">
    <w:name w:val="Heading 3 Char"/>
    <w:basedOn w:val="859"/>
    <w:link w:val="687"/>
    <w:uiPriority w:val="9"/>
    <w:rPr>
      <w:rFonts w:ascii="Arial" w:hAnsi="Arial" w:eastAsia="Arial" w:cs="Arial"/>
      <w:sz w:val="30"/>
      <w:szCs w:val="30"/>
    </w:rPr>
  </w:style>
  <w:style w:type="paragraph" w:styleId="689">
    <w:name w:val="Heading 4"/>
    <w:basedOn w:val="858"/>
    <w:next w:val="858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basedOn w:val="859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858"/>
    <w:next w:val="858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basedOn w:val="859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858"/>
    <w:next w:val="858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basedOn w:val="859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858"/>
    <w:next w:val="858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basedOn w:val="859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58"/>
    <w:next w:val="858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basedOn w:val="859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858"/>
    <w:next w:val="858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basedOn w:val="859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58"/>
    <w:next w:val="858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basedOn w:val="859"/>
    <w:link w:val="702"/>
    <w:uiPriority w:val="10"/>
    <w:rPr>
      <w:sz w:val="48"/>
      <w:szCs w:val="48"/>
    </w:rPr>
  </w:style>
  <w:style w:type="paragraph" w:styleId="704">
    <w:name w:val="Subtitle"/>
    <w:basedOn w:val="858"/>
    <w:next w:val="858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basedOn w:val="859"/>
    <w:link w:val="704"/>
    <w:uiPriority w:val="11"/>
    <w:rPr>
      <w:sz w:val="24"/>
      <w:szCs w:val="24"/>
    </w:rPr>
  </w:style>
  <w:style w:type="paragraph" w:styleId="706">
    <w:name w:val="Quote"/>
    <w:basedOn w:val="858"/>
    <w:next w:val="858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58"/>
    <w:next w:val="858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basedOn w:val="858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basedOn w:val="859"/>
    <w:link w:val="710"/>
    <w:uiPriority w:val="99"/>
  </w:style>
  <w:style w:type="paragraph" w:styleId="712">
    <w:name w:val="Footer"/>
    <w:basedOn w:val="858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basedOn w:val="859"/>
    <w:link w:val="712"/>
    <w:uiPriority w:val="99"/>
  </w:style>
  <w:style w:type="paragraph" w:styleId="714">
    <w:name w:val="Caption"/>
    <w:basedOn w:val="858"/>
    <w:next w:val="85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basedOn w:val="714"/>
    <w:link w:val="712"/>
    <w:uiPriority w:val="99"/>
  </w:style>
  <w:style w:type="table" w:styleId="716">
    <w:name w:val="Table Grid Light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86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>
    <w:name w:val="Grid Table 4 - Accent 1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5">
    <w:name w:val="Grid Table 4 - Accent 2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6">
    <w:name w:val="Grid Table 4 - Accent 3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7">
    <w:name w:val="Grid Table 4 - Accent 4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8">
    <w:name w:val="Grid Table 4 - Accent 5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9">
    <w:name w:val="Grid Table 4 - Accent 6"/>
    <w:basedOn w:val="8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0">
    <w:name w:val="Grid Table 5 Dark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1">
    <w:name w:val="Grid Table 5 Dark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7">
    <w:name w:val="Grid Table 6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9">
    <w:name w:val="List Table 2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0">
    <w:name w:val="List Table 2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1">
    <w:name w:val="List Table 2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2">
    <w:name w:val="List Table 2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3">
    <w:name w:val="List Table 2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4">
    <w:name w:val="List Table 2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7">
    <w:name w:val="List Table 6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8">
    <w:name w:val="List Table 6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List Table 6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0">
    <w:name w:val="List Table 6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List Table 6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2">
    <w:name w:val="List Table 6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3">
    <w:name w:val="List Table 7 Colorful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5">
    <w:name w:val="List Table 7 Colorful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6">
    <w:name w:val="List Table 7 Colorful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7">
    <w:name w:val="List Table 7 Colorful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8">
    <w:name w:val="List Table 7 Colorful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9">
    <w:name w:val="List Table 7 Colorful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0">
    <w:name w:val="Lined - Accent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Lined - Accent 1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Lined - Accent 2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Lined - Accent 3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Lined - Accent 4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Lined - Accent 5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Lined - Accent 6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 &amp; Lined - Accent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Bordered &amp; Lined - Accent 1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Bordered &amp; Lined - Accent 2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Bordered &amp; Lined - Accent 3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Bordered &amp; Lined - Accent 4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Bordered &amp; Lined - Accent 5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Bordered &amp; Lined - Accent 6"/>
    <w:basedOn w:val="8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5">
    <w:name w:val="Bordered - Accent 1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6">
    <w:name w:val="Bordered - Accent 2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7">
    <w:name w:val="Bordered - Accent 3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8">
    <w:name w:val="Bordered - Accent 4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9">
    <w:name w:val="Bordered - Accent 5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0">
    <w:name w:val="Bordered - Accent 6"/>
    <w:basedOn w:val="8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1">
    <w:name w:val="footnote text"/>
    <w:basedOn w:val="858"/>
    <w:link w:val="842"/>
    <w:uiPriority w:val="99"/>
    <w:semiHidden/>
    <w:unhideWhenUsed/>
    <w:pPr>
      <w:spacing w:after="40" w:line="240" w:lineRule="auto"/>
    </w:pPr>
    <w:rPr>
      <w:sz w:val="18"/>
    </w:rPr>
  </w:style>
  <w:style w:type="character" w:styleId="842">
    <w:name w:val="Footnote Text Char"/>
    <w:link w:val="841"/>
    <w:uiPriority w:val="99"/>
    <w:rPr>
      <w:sz w:val="18"/>
    </w:rPr>
  </w:style>
  <w:style w:type="character" w:styleId="843">
    <w:name w:val="footnote reference"/>
    <w:basedOn w:val="859"/>
    <w:uiPriority w:val="99"/>
    <w:unhideWhenUsed/>
    <w:rPr>
      <w:vertAlign w:val="superscript"/>
    </w:rPr>
  </w:style>
  <w:style w:type="paragraph" w:styleId="844">
    <w:name w:val="endnote text"/>
    <w:basedOn w:val="858"/>
    <w:link w:val="845"/>
    <w:uiPriority w:val="99"/>
    <w:semiHidden/>
    <w:unhideWhenUsed/>
    <w:pPr>
      <w:spacing w:after="0" w:line="240" w:lineRule="auto"/>
    </w:pPr>
    <w:rPr>
      <w:sz w:val="20"/>
    </w:rPr>
  </w:style>
  <w:style w:type="character" w:styleId="845">
    <w:name w:val="Endnote Text Char"/>
    <w:link w:val="844"/>
    <w:uiPriority w:val="99"/>
    <w:rPr>
      <w:sz w:val="20"/>
    </w:rPr>
  </w:style>
  <w:style w:type="character" w:styleId="846">
    <w:name w:val="endnote reference"/>
    <w:basedOn w:val="859"/>
    <w:uiPriority w:val="99"/>
    <w:semiHidden/>
    <w:unhideWhenUsed/>
    <w:rPr>
      <w:vertAlign w:val="superscript"/>
    </w:rPr>
  </w:style>
  <w:style w:type="paragraph" w:styleId="847">
    <w:name w:val="toc 1"/>
    <w:basedOn w:val="858"/>
    <w:next w:val="858"/>
    <w:uiPriority w:val="39"/>
    <w:unhideWhenUsed/>
    <w:pPr>
      <w:ind w:left="0" w:right="0" w:firstLine="0"/>
      <w:spacing w:after="57"/>
    </w:pPr>
  </w:style>
  <w:style w:type="paragraph" w:styleId="848">
    <w:name w:val="toc 2"/>
    <w:basedOn w:val="858"/>
    <w:next w:val="858"/>
    <w:uiPriority w:val="39"/>
    <w:unhideWhenUsed/>
    <w:pPr>
      <w:ind w:left="283" w:right="0" w:firstLine="0"/>
      <w:spacing w:after="57"/>
    </w:pPr>
  </w:style>
  <w:style w:type="paragraph" w:styleId="849">
    <w:name w:val="toc 3"/>
    <w:basedOn w:val="858"/>
    <w:next w:val="858"/>
    <w:uiPriority w:val="39"/>
    <w:unhideWhenUsed/>
    <w:pPr>
      <w:ind w:left="567" w:right="0" w:firstLine="0"/>
      <w:spacing w:after="57"/>
    </w:pPr>
  </w:style>
  <w:style w:type="paragraph" w:styleId="850">
    <w:name w:val="toc 4"/>
    <w:basedOn w:val="858"/>
    <w:next w:val="858"/>
    <w:uiPriority w:val="39"/>
    <w:unhideWhenUsed/>
    <w:pPr>
      <w:ind w:left="850" w:right="0" w:firstLine="0"/>
      <w:spacing w:after="57"/>
    </w:pPr>
  </w:style>
  <w:style w:type="paragraph" w:styleId="851">
    <w:name w:val="toc 5"/>
    <w:basedOn w:val="858"/>
    <w:next w:val="858"/>
    <w:uiPriority w:val="39"/>
    <w:unhideWhenUsed/>
    <w:pPr>
      <w:ind w:left="1134" w:right="0" w:firstLine="0"/>
      <w:spacing w:after="57"/>
    </w:pPr>
  </w:style>
  <w:style w:type="paragraph" w:styleId="852">
    <w:name w:val="toc 6"/>
    <w:basedOn w:val="858"/>
    <w:next w:val="858"/>
    <w:uiPriority w:val="39"/>
    <w:unhideWhenUsed/>
    <w:pPr>
      <w:ind w:left="1417" w:right="0" w:firstLine="0"/>
      <w:spacing w:after="57"/>
    </w:pPr>
  </w:style>
  <w:style w:type="paragraph" w:styleId="853">
    <w:name w:val="toc 7"/>
    <w:basedOn w:val="858"/>
    <w:next w:val="858"/>
    <w:uiPriority w:val="39"/>
    <w:unhideWhenUsed/>
    <w:pPr>
      <w:ind w:left="1701" w:right="0" w:firstLine="0"/>
      <w:spacing w:after="57"/>
    </w:pPr>
  </w:style>
  <w:style w:type="paragraph" w:styleId="854">
    <w:name w:val="toc 8"/>
    <w:basedOn w:val="858"/>
    <w:next w:val="858"/>
    <w:uiPriority w:val="39"/>
    <w:unhideWhenUsed/>
    <w:pPr>
      <w:ind w:left="1984" w:right="0" w:firstLine="0"/>
      <w:spacing w:after="57"/>
    </w:pPr>
  </w:style>
  <w:style w:type="paragraph" w:styleId="855">
    <w:name w:val="toc 9"/>
    <w:basedOn w:val="858"/>
    <w:next w:val="858"/>
    <w:uiPriority w:val="39"/>
    <w:unhideWhenUsed/>
    <w:pPr>
      <w:ind w:left="2268" w:right="0" w:firstLine="0"/>
      <w:spacing w:after="57"/>
    </w:pPr>
  </w:style>
  <w:style w:type="paragraph" w:styleId="856">
    <w:name w:val="TOC Heading"/>
    <w:uiPriority w:val="39"/>
    <w:unhideWhenUsed/>
  </w:style>
  <w:style w:type="paragraph" w:styleId="857">
    <w:name w:val="table of figures"/>
    <w:basedOn w:val="858"/>
    <w:next w:val="858"/>
    <w:uiPriority w:val="99"/>
    <w:unhideWhenUsed/>
    <w:pPr>
      <w:spacing w:after="0" w:afterAutospacing="0"/>
    </w:pPr>
  </w:style>
  <w:style w:type="paragraph" w:styleId="858" w:default="1">
    <w:name w:val="Normal"/>
    <w:qFormat/>
  </w:style>
  <w:style w:type="character" w:styleId="859" w:default="1">
    <w:name w:val="Default Paragraph Font"/>
    <w:uiPriority w:val="1"/>
    <w:semiHidden/>
    <w:unhideWhenUsed/>
  </w:style>
  <w:style w:type="table" w:styleId="8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1" w:default="1">
    <w:name w:val="No List"/>
    <w:uiPriority w:val="99"/>
    <w:semiHidden/>
    <w:unhideWhenUsed/>
  </w:style>
  <w:style w:type="paragraph" w:styleId="862">
    <w:name w:val="List Paragraph"/>
    <w:basedOn w:val="858"/>
    <w:uiPriority w:val="34"/>
    <w:qFormat/>
    <w:pPr>
      <w:contextualSpacing/>
      <w:ind w:left="720"/>
    </w:pPr>
  </w:style>
  <w:style w:type="character" w:styleId="863">
    <w:name w:val="Hyperlink"/>
    <w:basedOn w:val="859"/>
    <w:uiPriority w:val="99"/>
    <w:unhideWhenUsed/>
    <w:rPr>
      <w:rFonts w:hint="default" w:ascii="Geometria Medium" w:hAnsi="Geometria Medium"/>
      <w:strike w:val="0"/>
      <w:color w:val="0478cf"/>
      <w:u w:val="none"/>
      <w:shd w:val="clear" w:color="auto" w:fill="auto"/>
    </w:rPr>
  </w:style>
  <w:style w:type="table" w:styleId="864">
    <w:name w:val="Table Grid"/>
    <w:basedOn w:val="86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5" w:customStyle="1">
    <w:name w:val="ГПО35"/>
    <w:pPr>
      <w:ind w:left="786" w:hanging="360"/>
      <w:spacing w:after="48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66">
    <w:name w:val="Balloon Text"/>
    <w:basedOn w:val="858"/>
    <w:link w:val="867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character" w:styleId="867" w:customStyle="1">
    <w:name w:val="Текст выноски Знак"/>
    <w:basedOn w:val="859"/>
    <w:link w:val="866"/>
    <w:uiPriority w:val="99"/>
    <w:semiHidden/>
    <w:rPr>
      <w:rFonts w:ascii="Arial" w:hAnsi="Arial" w:cs="Arial"/>
      <w:sz w:val="18"/>
      <w:szCs w:val="18"/>
    </w:rPr>
  </w:style>
  <w:style w:type="paragraph" w:styleId="868" w:customStyle="1">
    <w:name w:val="Абзац списка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77ED9-24C1-4F02-9323-E593CDCD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Юга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 Алексей Юрьевич</dc:creator>
  <cp:revision>50</cp:revision>
  <dcterms:created xsi:type="dcterms:W3CDTF">2023-03-27T14:03:00Z</dcterms:created>
  <dcterms:modified xsi:type="dcterms:W3CDTF">2025-03-27T07:53:10Z</dcterms:modified>
</cp:coreProperties>
</file>